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39A9F" w14:textId="77777777" w:rsidR="00807305" w:rsidRDefault="00807305" w:rsidP="00807305">
      <w:pPr>
        <w:shd w:val="clear" w:color="auto" w:fill="FFFFFF"/>
        <w:bidi/>
        <w:spacing w:before="100" w:beforeAutospacing="1" w:after="100" w:afterAutospacing="1" w:line="276" w:lineRule="auto"/>
        <w:jc w:val="both"/>
      </w:pPr>
      <w:r>
        <w:rPr>
          <w:rFonts w:hint="cs"/>
          <w:color w:val="222222"/>
          <w:sz w:val="24"/>
          <w:szCs w:val="24"/>
          <w:rtl/>
        </w:rPr>
        <w:t>שלום לחברות וחברי הסגל ותלמידות ותלמידי הפקולטה למדעי החברה,</w:t>
      </w:r>
    </w:p>
    <w:p w14:paraId="41DD843D" w14:textId="1F1D0E43" w:rsidR="00807305" w:rsidRDefault="00807305" w:rsidP="00807305">
      <w:pPr>
        <w:shd w:val="clear" w:color="auto" w:fill="FFFFFF"/>
        <w:bidi/>
        <w:spacing w:before="100" w:beforeAutospacing="1" w:after="100" w:afterAutospacing="1" w:line="276" w:lineRule="auto"/>
        <w:jc w:val="both"/>
        <w:rPr>
          <w:rFonts w:hint="cs"/>
          <w:rtl/>
        </w:rPr>
      </w:pPr>
      <w:r>
        <w:rPr>
          <w:color w:val="222222"/>
          <w:sz w:val="24"/>
          <w:szCs w:val="24"/>
        </w:rPr>
        <w:t> </w:t>
      </w:r>
      <w:r>
        <w:rPr>
          <w:rFonts w:hint="cs"/>
          <w:color w:val="222222"/>
          <w:sz w:val="24"/>
          <w:szCs w:val="24"/>
          <w:rtl/>
        </w:rPr>
        <w:t>בשנת הלימודים תשפ"ג אימצה האוניברסיטה העברית "נוהל אתיקה במחקר עם/בבני אדם".* נוהל זה החליף את נהלי האתיקה שהיו קיימים עד אז. לפי הנהלים הקודמים, ועדת האתיקה של הפקולטה למדעי החברה העניקה לחוקרים אישור אתיקה סטנדרטי (</w:t>
      </w:r>
      <w:r>
        <w:rPr>
          <w:rFonts w:ascii="Arial" w:hAnsi="Arial" w:cs="Arial"/>
          <w:color w:val="222222"/>
          <w:sz w:val="24"/>
          <w:szCs w:val="24"/>
        </w:rPr>
        <w:t>ethics approval</w:t>
      </w:r>
      <w:r>
        <w:rPr>
          <w:rFonts w:hint="cs"/>
          <w:color w:val="222222"/>
          <w:sz w:val="24"/>
          <w:szCs w:val="24"/>
          <w:rtl/>
        </w:rPr>
        <w:t xml:space="preserve">). חוקרים שהיו זקוקים לאישור </w:t>
      </w:r>
      <w:r>
        <w:rPr>
          <w:rFonts w:ascii="Arial" w:hAnsi="Arial" w:cs="Arial"/>
          <w:color w:val="222222"/>
          <w:sz w:val="24"/>
          <w:szCs w:val="24"/>
        </w:rPr>
        <w:t>IRB</w:t>
      </w:r>
      <w:r>
        <w:rPr>
          <w:rFonts w:hint="cs"/>
          <w:color w:val="222222"/>
          <w:sz w:val="24"/>
          <w:szCs w:val="24"/>
          <w:rtl/>
        </w:rPr>
        <w:t xml:space="preserve"> (</w:t>
      </w:r>
      <w:r>
        <w:rPr>
          <w:rFonts w:ascii="Arial" w:hAnsi="Arial" w:cs="Arial"/>
          <w:color w:val="222222"/>
          <w:sz w:val="24"/>
          <w:szCs w:val="24"/>
        </w:rPr>
        <w:t>Institutional Review Board</w:t>
      </w:r>
      <w:r>
        <w:rPr>
          <w:rFonts w:hint="cs"/>
          <w:color w:val="222222"/>
          <w:sz w:val="24"/>
          <w:szCs w:val="24"/>
          <w:rtl/>
        </w:rPr>
        <w:t>), אישור אתיקה ברמה גבוהה יותר, נאלצו לפנות לוועדת האתיקה העליונה הכלל אוניברסיטאית. זה היה המצב לדוגמה עבור בקשות של חוקרים שזכו למימון מקרנות מחקר חיצוניות כמו ה-</w:t>
      </w:r>
      <w:r>
        <w:rPr>
          <w:rFonts w:ascii="Arial" w:hAnsi="Arial" w:cs="Arial"/>
          <w:color w:val="222222"/>
          <w:sz w:val="24"/>
          <w:szCs w:val="24"/>
        </w:rPr>
        <w:t>ISF</w:t>
      </w:r>
      <w:r>
        <w:rPr>
          <w:rFonts w:hint="cs"/>
          <w:color w:val="222222"/>
          <w:sz w:val="24"/>
          <w:szCs w:val="24"/>
          <w:rtl/>
        </w:rPr>
        <w:t xml:space="preserve"> וה-</w:t>
      </w:r>
      <w:r>
        <w:rPr>
          <w:rFonts w:ascii="Arial" w:hAnsi="Arial" w:cs="Arial"/>
          <w:color w:val="222222"/>
          <w:sz w:val="24"/>
          <w:szCs w:val="24"/>
        </w:rPr>
        <w:t>ERC</w:t>
      </w:r>
      <w:r>
        <w:rPr>
          <w:rFonts w:hint="cs"/>
          <w:color w:val="222222"/>
          <w:sz w:val="24"/>
          <w:szCs w:val="24"/>
          <w:rtl/>
        </w:rPr>
        <w:t xml:space="preserve">. תחת הנוהל החדש, כל האישורים שיינתנו על ידי ועדת האתיקה של הפקולטה למדעי החברה יהיו אישורי </w:t>
      </w:r>
      <w:r>
        <w:rPr>
          <w:rFonts w:ascii="Arial" w:hAnsi="Arial" w:cs="Arial"/>
          <w:color w:val="222222"/>
          <w:sz w:val="24"/>
          <w:szCs w:val="24"/>
        </w:rPr>
        <w:t>IRB</w:t>
      </w:r>
      <w:r>
        <w:rPr>
          <w:rFonts w:hint="cs"/>
          <w:color w:val="222222"/>
          <w:sz w:val="24"/>
          <w:szCs w:val="24"/>
          <w:rtl/>
        </w:rPr>
        <w:t>.</w:t>
      </w:r>
    </w:p>
    <w:p w14:paraId="704D3C21" w14:textId="3621682A" w:rsidR="00807305" w:rsidRDefault="00807305" w:rsidP="00807305">
      <w:pPr>
        <w:shd w:val="clear" w:color="auto" w:fill="FFFFFF"/>
        <w:bidi/>
        <w:spacing w:before="100" w:beforeAutospacing="1" w:after="100" w:afterAutospacing="1" w:line="276" w:lineRule="auto"/>
        <w:jc w:val="both"/>
        <w:rPr>
          <w:rFonts w:hint="cs"/>
          <w:rtl/>
        </w:rPr>
      </w:pPr>
      <w:r>
        <w:rPr>
          <w:rFonts w:hint="cs"/>
          <w:color w:val="222222"/>
          <w:sz w:val="24"/>
          <w:szCs w:val="24"/>
          <w:rtl/>
        </w:rPr>
        <w:t> משנת הלימודים תשפ"ד ועדת האתיקה של הפקולטה למדעי החברה תבחין בפעולתה בין מחקרים מסוגים שונים ותציע הליכי טיפול שונים וזאת על מנת לייעל את תהליך האישור. ככלל רק מחקרים של חברי/</w:t>
      </w:r>
      <w:proofErr w:type="spellStart"/>
      <w:r>
        <w:rPr>
          <w:rFonts w:hint="cs"/>
          <w:color w:val="222222"/>
          <w:sz w:val="24"/>
          <w:szCs w:val="24"/>
          <w:rtl/>
        </w:rPr>
        <w:t>ות</w:t>
      </w:r>
      <w:proofErr w:type="spellEnd"/>
      <w:r>
        <w:rPr>
          <w:rFonts w:hint="cs"/>
          <w:color w:val="222222"/>
          <w:sz w:val="24"/>
          <w:szCs w:val="24"/>
          <w:rtl/>
        </w:rPr>
        <w:t xml:space="preserve"> סגל, פוסט-דוקטורנטים/</w:t>
      </w:r>
      <w:proofErr w:type="spellStart"/>
      <w:r>
        <w:rPr>
          <w:rFonts w:hint="cs"/>
          <w:color w:val="222222"/>
          <w:sz w:val="24"/>
          <w:szCs w:val="24"/>
          <w:rtl/>
        </w:rPr>
        <w:t>ות</w:t>
      </w:r>
      <w:proofErr w:type="spellEnd"/>
      <w:r>
        <w:rPr>
          <w:rFonts w:hint="cs"/>
          <w:color w:val="222222"/>
          <w:sz w:val="24"/>
          <w:szCs w:val="24"/>
          <w:rtl/>
        </w:rPr>
        <w:t>, דוקטורנטים/</w:t>
      </w:r>
      <w:proofErr w:type="spellStart"/>
      <w:r>
        <w:rPr>
          <w:rFonts w:hint="cs"/>
          <w:color w:val="222222"/>
          <w:sz w:val="24"/>
          <w:szCs w:val="24"/>
          <w:rtl/>
        </w:rPr>
        <w:t>ות</w:t>
      </w:r>
      <w:proofErr w:type="spellEnd"/>
      <w:r>
        <w:rPr>
          <w:rFonts w:hint="cs"/>
          <w:color w:val="222222"/>
          <w:sz w:val="24"/>
          <w:szCs w:val="24"/>
          <w:rtl/>
        </w:rPr>
        <w:t>, ותלמידי/</w:t>
      </w:r>
      <w:proofErr w:type="spellStart"/>
      <w:r>
        <w:rPr>
          <w:rFonts w:hint="cs"/>
          <w:color w:val="222222"/>
          <w:sz w:val="24"/>
          <w:szCs w:val="24"/>
          <w:rtl/>
        </w:rPr>
        <w:t>ות</w:t>
      </w:r>
      <w:proofErr w:type="spellEnd"/>
      <w:r>
        <w:rPr>
          <w:rFonts w:hint="cs"/>
          <w:color w:val="222222"/>
          <w:sz w:val="24"/>
          <w:szCs w:val="24"/>
          <w:rtl/>
        </w:rPr>
        <w:t xml:space="preserve"> מוסמך מחקרי (עבודות תזה) יחייבו אישור מוועדת האתיקה של הפקולטה.</w:t>
      </w:r>
    </w:p>
    <w:p w14:paraId="102D52DC" w14:textId="3AA5DA84" w:rsidR="00807305" w:rsidRDefault="00807305" w:rsidP="00807305">
      <w:pPr>
        <w:shd w:val="clear" w:color="auto" w:fill="FFFFFF"/>
        <w:bidi/>
        <w:spacing w:before="100" w:beforeAutospacing="1" w:after="100" w:afterAutospacing="1" w:line="276" w:lineRule="auto"/>
        <w:jc w:val="both"/>
        <w:rPr>
          <w:rFonts w:hint="cs"/>
          <w:rtl/>
        </w:rPr>
      </w:pPr>
      <w:r>
        <w:rPr>
          <w:rFonts w:hint="cs"/>
          <w:color w:val="222222"/>
          <w:sz w:val="24"/>
          <w:szCs w:val="24"/>
          <w:rtl/>
        </w:rPr>
        <w:t> עבודות סמינריוניות של תלמידים לתואר ראשון (ותלמידי מוסמך) לא יחייבו אישור מוועדת האתיקה של הפקולטה. במקרים אלו האחריות להבטחת עמידה בכללי האתיקה במחקר מוטלת על מנחה/ת העבודה. על מנת שהתלמידים יפנימו את החשיבות הרבה שהאוניברסיטה מייחסת לשאלת האתיקה במחקר, על המנחים/</w:t>
      </w:r>
      <w:proofErr w:type="spellStart"/>
      <w:r>
        <w:rPr>
          <w:rFonts w:hint="cs"/>
          <w:color w:val="222222"/>
          <w:sz w:val="24"/>
          <w:szCs w:val="24"/>
          <w:rtl/>
        </w:rPr>
        <w:t>ות</w:t>
      </w:r>
      <w:proofErr w:type="spellEnd"/>
      <w:r>
        <w:rPr>
          <w:rFonts w:hint="cs"/>
          <w:color w:val="222222"/>
          <w:sz w:val="24"/>
          <w:szCs w:val="24"/>
          <w:rtl/>
        </w:rPr>
        <w:t xml:space="preserve"> לדרוש מהתלמידים/</w:t>
      </w:r>
      <w:proofErr w:type="spellStart"/>
      <w:r>
        <w:rPr>
          <w:rFonts w:hint="cs"/>
          <w:color w:val="222222"/>
          <w:sz w:val="24"/>
          <w:szCs w:val="24"/>
          <w:rtl/>
        </w:rPr>
        <w:t>ות</w:t>
      </w:r>
      <w:proofErr w:type="spellEnd"/>
      <w:r>
        <w:rPr>
          <w:rFonts w:hint="cs"/>
          <w:color w:val="222222"/>
          <w:sz w:val="24"/>
          <w:szCs w:val="24"/>
          <w:rtl/>
        </w:rPr>
        <w:t xml:space="preserve"> לעבור קורס אתיקה ממוחשב (ראו את נוהל האתיקה החדש של הפקולטה באתר הפקולטה).</w:t>
      </w:r>
    </w:p>
    <w:p w14:paraId="196B3946" w14:textId="07BCC9D5" w:rsidR="00807305" w:rsidRDefault="00807305" w:rsidP="00807305">
      <w:pPr>
        <w:shd w:val="clear" w:color="auto" w:fill="FFFFFF"/>
        <w:bidi/>
        <w:spacing w:before="100" w:beforeAutospacing="1" w:after="100" w:afterAutospacing="1" w:line="276" w:lineRule="auto"/>
        <w:jc w:val="both"/>
        <w:rPr>
          <w:rFonts w:hint="cs"/>
          <w:rtl/>
        </w:rPr>
      </w:pPr>
      <w:r>
        <w:rPr>
          <w:rFonts w:hint="cs"/>
          <w:color w:val="222222"/>
          <w:sz w:val="24"/>
          <w:szCs w:val="24"/>
          <w:rtl/>
        </w:rPr>
        <w:t xml:space="preserve"> הוועדה תציע שלושה הליכי טיפול: מקוצר, מלא, ומואץ. ההליכים השונים משקפים את הצורך להתמודד עם מקרים שונים, בפרט מבחינת הסיכונים לבני האדם המעורבים במחקר ומבחינת שיקולי דחיפות. </w:t>
      </w:r>
      <w:r>
        <w:rPr>
          <w:rFonts w:hint="cs"/>
          <w:b/>
          <w:bCs/>
          <w:color w:val="222222"/>
          <w:sz w:val="24"/>
          <w:szCs w:val="24"/>
          <w:rtl/>
        </w:rPr>
        <w:t>ככלל, ניתן לראות את ההליך המקוצר כהליך ברירת המחדל.</w:t>
      </w:r>
    </w:p>
    <w:p w14:paraId="08B32A73" w14:textId="7097959E" w:rsidR="00807305" w:rsidRDefault="00807305" w:rsidP="00807305">
      <w:pPr>
        <w:shd w:val="clear" w:color="auto" w:fill="FFFFFF"/>
        <w:bidi/>
        <w:spacing w:before="100" w:beforeAutospacing="1" w:after="100" w:afterAutospacing="1" w:line="276" w:lineRule="auto"/>
        <w:jc w:val="both"/>
        <w:rPr>
          <w:rFonts w:hint="cs"/>
          <w:rtl/>
        </w:rPr>
      </w:pPr>
      <w:r>
        <w:rPr>
          <w:rFonts w:ascii="Arial" w:hAnsi="Arial" w:cs="Arial"/>
          <w:color w:val="222222"/>
          <w:sz w:val="24"/>
          <w:szCs w:val="24"/>
          <w:rtl/>
        </w:rPr>
        <w:t> </w:t>
      </w:r>
      <w:r>
        <w:rPr>
          <w:rFonts w:hint="cs"/>
          <w:color w:val="222222"/>
          <w:sz w:val="24"/>
          <w:szCs w:val="24"/>
          <w:rtl/>
        </w:rPr>
        <w:t>באתר הפקולטה למדעי החברה (</w:t>
      </w:r>
      <w:r>
        <w:rPr>
          <w:rFonts w:ascii="Arial" w:hAnsi="Arial" w:cs="Arial"/>
          <w:color w:val="222222"/>
          <w:sz w:val="24"/>
          <w:szCs w:val="24"/>
          <w:rtl/>
        </w:rPr>
        <w:t>תחת "חוקרים ומחקר" ו-"קישורים שימושיים"</w:t>
      </w:r>
      <w:r>
        <w:rPr>
          <w:rFonts w:hint="cs"/>
          <w:color w:val="222222"/>
          <w:sz w:val="24"/>
          <w:szCs w:val="24"/>
          <w:rtl/>
        </w:rPr>
        <w:t xml:space="preserve">) ניתן למצוא את נוהל האתיקה החדש של האוניברסיטה, את נוהל האתיקה החדש של הפקולטה ואת הטופס המעודכן של בקשה לאישור אתיקה. את הבקשות יש להגיש לכתובת המייל הייעודית </w:t>
      </w:r>
      <w:hyperlink r:id="rId5" w:tgtFrame="_blank" w:history="1">
        <w:r>
          <w:rPr>
            <w:rStyle w:val="Hyperlink"/>
            <w:rFonts w:ascii="Arial" w:hAnsi="Arial" w:cs="Arial"/>
            <w:sz w:val="24"/>
            <w:szCs w:val="24"/>
          </w:rPr>
          <w:t>ethics.social.science@mail.huji.ac.il</w:t>
        </w:r>
      </w:hyperlink>
      <w:r>
        <w:rPr>
          <w:rFonts w:hint="cs"/>
          <w:color w:val="222222"/>
          <w:sz w:val="24"/>
          <w:szCs w:val="24"/>
          <w:rtl/>
        </w:rPr>
        <w:t>. זו גם הכתובת לכל שאלה או בירור.</w:t>
      </w:r>
    </w:p>
    <w:p w14:paraId="567A83A8" w14:textId="0253B2CE" w:rsidR="00807305" w:rsidRDefault="00807305" w:rsidP="00807305">
      <w:pPr>
        <w:shd w:val="clear" w:color="auto" w:fill="FFFFFF"/>
        <w:bidi/>
        <w:spacing w:before="100" w:beforeAutospacing="1" w:after="100" w:afterAutospacing="1" w:line="276" w:lineRule="auto"/>
        <w:jc w:val="both"/>
        <w:rPr>
          <w:rFonts w:hint="cs"/>
          <w:rtl/>
        </w:rPr>
      </w:pPr>
      <w:r>
        <w:rPr>
          <w:color w:val="222222"/>
          <w:sz w:val="24"/>
          <w:szCs w:val="24"/>
        </w:rPr>
        <w:t> </w:t>
      </w:r>
      <w:r>
        <w:rPr>
          <w:rFonts w:hint="cs"/>
          <w:color w:val="222222"/>
          <w:sz w:val="24"/>
          <w:szCs w:val="24"/>
          <w:rtl/>
        </w:rPr>
        <w:t>בברכה,</w:t>
      </w:r>
    </w:p>
    <w:p w14:paraId="336E1E50" w14:textId="5FFF4B98" w:rsidR="00807305" w:rsidRDefault="00807305" w:rsidP="00807305">
      <w:pPr>
        <w:shd w:val="clear" w:color="auto" w:fill="FFFFFF"/>
        <w:bidi/>
        <w:spacing w:before="100" w:beforeAutospacing="1" w:after="100" w:afterAutospacing="1" w:line="276" w:lineRule="auto"/>
        <w:jc w:val="both"/>
        <w:rPr>
          <w:rFonts w:hint="cs"/>
          <w:rtl/>
        </w:rPr>
      </w:pPr>
      <w:r>
        <w:rPr>
          <w:rFonts w:ascii="Arial" w:hAnsi="Arial" w:cs="Arial"/>
          <w:color w:val="222222"/>
          <w:rtl/>
        </w:rPr>
        <w:t> </w:t>
      </w:r>
      <w:r>
        <w:rPr>
          <w:rFonts w:hint="cs"/>
          <w:color w:val="222222"/>
          <w:sz w:val="24"/>
          <w:szCs w:val="24"/>
          <w:rtl/>
        </w:rPr>
        <w:t>פרופ' גילי דרורי, דיקנית הפקולטה למדעי החברה</w:t>
      </w:r>
    </w:p>
    <w:p w14:paraId="228DB7BC" w14:textId="77777777" w:rsidR="00807305" w:rsidRDefault="00807305" w:rsidP="00807305">
      <w:pPr>
        <w:shd w:val="clear" w:color="auto" w:fill="FFFFFF"/>
        <w:bidi/>
        <w:spacing w:before="100" w:beforeAutospacing="1" w:after="100" w:afterAutospacing="1" w:line="276" w:lineRule="auto"/>
        <w:jc w:val="both"/>
        <w:rPr>
          <w:rFonts w:hint="cs"/>
          <w:rtl/>
        </w:rPr>
      </w:pPr>
      <w:r>
        <w:rPr>
          <w:rFonts w:hint="cs"/>
          <w:color w:val="222222"/>
          <w:sz w:val="24"/>
          <w:szCs w:val="24"/>
          <w:rtl/>
        </w:rPr>
        <w:t xml:space="preserve">פרופ' אסף זוסמן, סגן דיקן למחקר ואתיקה </w:t>
      </w:r>
      <w:proofErr w:type="spellStart"/>
      <w:r>
        <w:rPr>
          <w:rFonts w:hint="cs"/>
          <w:color w:val="222222"/>
          <w:sz w:val="24"/>
          <w:szCs w:val="24"/>
          <w:rtl/>
        </w:rPr>
        <w:t>ויו''ר</w:t>
      </w:r>
      <w:proofErr w:type="spellEnd"/>
      <w:r>
        <w:rPr>
          <w:rFonts w:hint="cs"/>
          <w:color w:val="222222"/>
          <w:sz w:val="24"/>
          <w:szCs w:val="24"/>
          <w:rtl/>
        </w:rPr>
        <w:t xml:space="preserve"> ועדת האתיקה </w:t>
      </w:r>
      <w:proofErr w:type="spellStart"/>
      <w:r>
        <w:rPr>
          <w:rFonts w:hint="cs"/>
          <w:color w:val="222222"/>
          <w:sz w:val="24"/>
          <w:szCs w:val="24"/>
          <w:rtl/>
        </w:rPr>
        <w:t>הפקולטאית</w:t>
      </w:r>
      <w:proofErr w:type="spellEnd"/>
    </w:p>
    <w:p w14:paraId="31CE6484" w14:textId="77777777" w:rsidR="00807305" w:rsidRDefault="00807305" w:rsidP="00807305">
      <w:pPr>
        <w:bidi/>
        <w:spacing w:before="100" w:beforeAutospacing="1" w:after="100" w:afterAutospacing="1" w:line="276" w:lineRule="auto"/>
        <w:jc w:val="both"/>
        <w:rPr>
          <w:rtl/>
        </w:rPr>
      </w:pPr>
      <w:r>
        <w:rPr>
          <w:rFonts w:hint="cs"/>
          <w:rtl/>
        </w:rPr>
        <w:t> </w:t>
      </w:r>
    </w:p>
    <w:p w14:paraId="148E7063" w14:textId="77777777" w:rsidR="00807305" w:rsidRDefault="00807305" w:rsidP="00807305">
      <w:pPr>
        <w:bidi/>
        <w:spacing w:before="100" w:beforeAutospacing="1" w:after="100" w:afterAutospacing="1" w:line="276" w:lineRule="auto"/>
        <w:jc w:val="both"/>
        <w:rPr>
          <w:rFonts w:hint="cs"/>
        </w:rPr>
      </w:pPr>
    </w:p>
    <w:p w14:paraId="55F2DECA" w14:textId="77777777" w:rsidR="00807305" w:rsidRDefault="00807305" w:rsidP="00807305">
      <w:pPr>
        <w:bidi/>
        <w:spacing w:before="100" w:beforeAutospacing="1" w:after="100" w:afterAutospacing="1" w:line="276" w:lineRule="auto"/>
        <w:jc w:val="both"/>
        <w:rPr>
          <w:rFonts w:hint="cs"/>
          <w:rtl/>
        </w:rPr>
      </w:pPr>
      <w:r>
        <w:rPr>
          <w:rFonts w:hint="cs"/>
          <w:sz w:val="24"/>
          <w:szCs w:val="24"/>
          <w:rtl/>
        </w:rPr>
        <w:lastRenderedPageBreak/>
        <w:t>* לפי הגדרה מקובלת, המשמשת בין היתר את ה-</w:t>
      </w:r>
      <w:r>
        <w:rPr>
          <w:rFonts w:ascii="Arial" w:hAnsi="Arial" w:cs="Arial"/>
          <w:sz w:val="24"/>
          <w:szCs w:val="24"/>
        </w:rPr>
        <w:t>NIH</w:t>
      </w:r>
      <w:r>
        <w:rPr>
          <w:rFonts w:hint="cs"/>
          <w:sz w:val="24"/>
          <w:szCs w:val="24"/>
          <w:rtl/>
        </w:rPr>
        <w:t xml:space="preserve"> בארצות הברית:</w:t>
      </w:r>
    </w:p>
    <w:p w14:paraId="6159C61F" w14:textId="77777777" w:rsidR="00807305" w:rsidRDefault="00807305" w:rsidP="00807305">
      <w:pPr>
        <w:bidi/>
        <w:spacing w:before="100" w:beforeAutospacing="1" w:after="100" w:afterAutospacing="1" w:line="276" w:lineRule="auto"/>
        <w:jc w:val="both"/>
        <w:rPr>
          <w:rFonts w:hint="cs"/>
          <w:rtl/>
        </w:rPr>
      </w:pPr>
      <w:r>
        <w:rPr>
          <w:rFonts w:ascii="Arial" w:hAnsi="Arial" w:cs="Arial"/>
          <w:sz w:val="24"/>
          <w:szCs w:val="24"/>
        </w:rPr>
        <w:t>A human subject</w:t>
      </w:r>
      <w:r>
        <w:rPr>
          <w:rFonts w:ascii="Arial" w:hAnsi="Arial" w:cs="Arial"/>
          <w:sz w:val="24"/>
          <w:szCs w:val="24"/>
          <w:rtl/>
        </w:rPr>
        <w:t> </w:t>
      </w:r>
      <w:r>
        <w:rPr>
          <w:rFonts w:ascii="Arial" w:hAnsi="Arial" w:cs="Arial"/>
          <w:sz w:val="24"/>
          <w:szCs w:val="24"/>
        </w:rPr>
        <w:t>is</w:t>
      </w:r>
      <w:r>
        <w:rPr>
          <w:rFonts w:ascii="Arial" w:hAnsi="Arial" w:cs="Arial"/>
          <w:sz w:val="24"/>
          <w:szCs w:val="24"/>
          <w:rtl/>
        </w:rPr>
        <w:t xml:space="preserve"> "</w:t>
      </w:r>
      <w:r>
        <w:rPr>
          <w:rFonts w:ascii="Arial" w:hAnsi="Arial" w:cs="Arial"/>
          <w:sz w:val="24"/>
          <w:szCs w:val="24"/>
        </w:rPr>
        <w:t>a living individual about whom an investigator (whether professional or student) conducting research</w:t>
      </w:r>
      <w:r>
        <w:rPr>
          <w:rFonts w:ascii="Arial" w:hAnsi="Arial" w:cs="Arial"/>
          <w:sz w:val="24"/>
          <w:szCs w:val="24"/>
          <w:rtl/>
        </w:rPr>
        <w:t>:</w:t>
      </w:r>
    </w:p>
    <w:p w14:paraId="4C126BD4" w14:textId="77777777" w:rsidR="00807305" w:rsidRDefault="00807305" w:rsidP="00807305">
      <w:pPr>
        <w:numPr>
          <w:ilvl w:val="0"/>
          <w:numId w:val="1"/>
        </w:numPr>
        <w:bidi/>
        <w:spacing w:before="100" w:beforeAutospacing="1" w:after="100" w:afterAutospacing="1" w:line="276" w:lineRule="auto"/>
        <w:jc w:val="both"/>
        <w:rPr>
          <w:rFonts w:hint="cs"/>
          <w:rtl/>
        </w:rPr>
      </w:pPr>
      <w:r>
        <w:rPr>
          <w:rFonts w:ascii="Arial" w:hAnsi="Arial" w:cs="Arial"/>
          <w:sz w:val="24"/>
          <w:szCs w:val="24"/>
        </w:rPr>
        <w:t>Obtains information or biospecimens through intervention or interaction with the individual, and uses, studies, or analyzes the information or biospecimens; or</w:t>
      </w:r>
    </w:p>
    <w:p w14:paraId="79BF7250" w14:textId="77777777" w:rsidR="00807305" w:rsidRDefault="00807305" w:rsidP="00807305">
      <w:pPr>
        <w:numPr>
          <w:ilvl w:val="0"/>
          <w:numId w:val="1"/>
        </w:numPr>
        <w:bidi/>
        <w:spacing w:before="100" w:beforeAutospacing="1" w:after="100" w:afterAutospacing="1" w:line="276" w:lineRule="auto"/>
        <w:jc w:val="both"/>
        <w:rPr>
          <w:rFonts w:hint="cs"/>
          <w:rtl/>
        </w:rPr>
      </w:pPr>
      <w:r>
        <w:rPr>
          <w:rFonts w:ascii="Arial" w:hAnsi="Arial" w:cs="Arial"/>
          <w:sz w:val="24"/>
          <w:szCs w:val="24"/>
        </w:rPr>
        <w:t>Obtains, uses, studies, analyzes, or generates identifiable private information or identifiable biospecimens</w:t>
      </w:r>
      <w:r>
        <w:rPr>
          <w:rFonts w:ascii="Arial" w:hAnsi="Arial" w:cs="Arial"/>
          <w:sz w:val="24"/>
          <w:szCs w:val="24"/>
          <w:rtl/>
        </w:rPr>
        <w:t>."</w:t>
      </w:r>
    </w:p>
    <w:p w14:paraId="40916026" w14:textId="77777777" w:rsidR="00807305" w:rsidRDefault="00807305" w:rsidP="00807305">
      <w:pPr>
        <w:bidi/>
        <w:spacing w:before="100" w:beforeAutospacing="1" w:after="100" w:afterAutospacing="1"/>
        <w:rPr>
          <w:rFonts w:hint="cs"/>
          <w:rtl/>
        </w:rPr>
      </w:pPr>
      <w:r>
        <w:rPr>
          <w:sz w:val="28"/>
          <w:szCs w:val="28"/>
        </w:rPr>
        <w:t> </w:t>
      </w:r>
    </w:p>
    <w:p w14:paraId="1F374A46" w14:textId="77777777" w:rsidR="00807305" w:rsidRDefault="00807305"/>
    <w:sectPr w:rsidR="008073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351CB"/>
    <w:multiLevelType w:val="multilevel"/>
    <w:tmpl w:val="2CA412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84056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05"/>
    <w:rsid w:val="008073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701F"/>
  <w15:chartTrackingRefBased/>
  <w15:docId w15:val="{CEB81B6C-1224-4D11-89B4-AAA7322A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305"/>
    <w:pPr>
      <w:spacing w:after="0" w:line="240" w:lineRule="auto"/>
    </w:pPr>
    <w:rPr>
      <w:rFonts w:ascii="Calibri" w:hAnsi="Calibri" w:cs="Calibri"/>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8073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thics.social.science@mail.huji.ac.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Yakubovitz</dc:creator>
  <cp:keywords/>
  <dc:description/>
  <cp:lastModifiedBy>Tamar Yakubovitz</cp:lastModifiedBy>
  <cp:revision>1</cp:revision>
  <dcterms:created xsi:type="dcterms:W3CDTF">2024-02-28T12:53:00Z</dcterms:created>
  <dcterms:modified xsi:type="dcterms:W3CDTF">2024-02-28T12:54:00Z</dcterms:modified>
</cp:coreProperties>
</file>